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CFF1" w14:textId="1C904AD8" w:rsidR="6D85B390" w:rsidRPr="004F5ED4" w:rsidRDefault="00384223" w:rsidP="004F5ED4">
      <w:pPr>
        <w:spacing w:after="0"/>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6693FAB0" wp14:editId="11ED1DA9">
            <wp:simplePos x="0" y="0"/>
            <wp:positionH relativeFrom="margin">
              <wp:align>center</wp:align>
            </wp:positionH>
            <wp:positionV relativeFrom="paragraph">
              <wp:posOffset>-542136</wp:posOffset>
            </wp:positionV>
            <wp:extent cx="1961516" cy="1711757"/>
            <wp:effectExtent l="0" t="0" r="635"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EEC Logo.png"/>
                    <pic:cNvPicPr/>
                  </pic:nvPicPr>
                  <pic:blipFill>
                    <a:blip r:embed="rId11">
                      <a:extLst>
                        <a:ext uri="{28A0092B-C50C-407E-A947-70E740481C1C}">
                          <a14:useLocalDpi xmlns:a14="http://schemas.microsoft.com/office/drawing/2010/main" val="0"/>
                        </a:ext>
                      </a:extLst>
                    </a:blip>
                    <a:stretch>
                      <a:fillRect/>
                    </a:stretch>
                  </pic:blipFill>
                  <pic:spPr>
                    <a:xfrm>
                      <a:off x="0" y="0"/>
                      <a:ext cx="1961516" cy="1711757"/>
                    </a:xfrm>
                    <a:prstGeom prst="rect">
                      <a:avLst/>
                    </a:prstGeom>
                  </pic:spPr>
                </pic:pic>
              </a:graphicData>
            </a:graphic>
            <wp14:sizeRelH relativeFrom="margin">
              <wp14:pctWidth>0</wp14:pctWidth>
            </wp14:sizeRelH>
            <wp14:sizeRelV relativeFrom="margin">
              <wp14:pctHeight>0</wp14:pctHeight>
            </wp14:sizeRelV>
          </wp:anchor>
        </w:drawing>
      </w:r>
    </w:p>
    <w:p w14:paraId="794265E4" w14:textId="77777777" w:rsidR="004F5ED4" w:rsidRDefault="004F5ED4" w:rsidP="00384223">
      <w:pPr>
        <w:spacing w:after="0"/>
        <w:rPr>
          <w:rFonts w:ascii="Arial" w:hAnsi="Arial" w:cs="Arial"/>
          <w:b/>
          <w:bCs/>
          <w:sz w:val="24"/>
          <w:szCs w:val="24"/>
        </w:rPr>
      </w:pPr>
    </w:p>
    <w:p w14:paraId="2039B23E" w14:textId="77777777" w:rsidR="00E76877" w:rsidRDefault="00E76877" w:rsidP="004F5ED4">
      <w:pPr>
        <w:spacing w:after="0"/>
        <w:jc w:val="center"/>
        <w:rPr>
          <w:rFonts w:ascii="Arial" w:hAnsi="Arial" w:cs="Arial"/>
          <w:b/>
          <w:bCs/>
          <w:sz w:val="26"/>
          <w:szCs w:val="26"/>
        </w:rPr>
      </w:pPr>
    </w:p>
    <w:p w14:paraId="6AC80A69" w14:textId="77777777" w:rsidR="00E76877" w:rsidRDefault="00E76877" w:rsidP="004F5ED4">
      <w:pPr>
        <w:spacing w:after="0"/>
        <w:jc w:val="center"/>
        <w:rPr>
          <w:rFonts w:ascii="Arial" w:hAnsi="Arial" w:cs="Arial"/>
          <w:b/>
          <w:bCs/>
          <w:sz w:val="26"/>
          <w:szCs w:val="26"/>
        </w:rPr>
      </w:pPr>
    </w:p>
    <w:p w14:paraId="30F07B9A" w14:textId="77777777" w:rsidR="00E76877" w:rsidRDefault="00E76877" w:rsidP="004F5ED4">
      <w:pPr>
        <w:spacing w:after="0"/>
        <w:jc w:val="center"/>
        <w:rPr>
          <w:rFonts w:ascii="Arial" w:hAnsi="Arial" w:cs="Arial"/>
          <w:b/>
          <w:bCs/>
          <w:sz w:val="26"/>
          <w:szCs w:val="26"/>
        </w:rPr>
      </w:pPr>
    </w:p>
    <w:p w14:paraId="08EBBDDC" w14:textId="77777777" w:rsidR="00E76877" w:rsidRPr="00E76877" w:rsidRDefault="00E76877" w:rsidP="00E76877">
      <w:pPr>
        <w:spacing w:after="0"/>
        <w:rPr>
          <w:rFonts w:ascii="Times New Roman" w:hAnsi="Times New Roman" w:cs="Times New Roman"/>
          <w:b/>
          <w:bCs/>
          <w:sz w:val="36"/>
          <w:szCs w:val="36"/>
        </w:rPr>
      </w:pPr>
    </w:p>
    <w:p w14:paraId="64349020" w14:textId="77777777" w:rsidR="00FE7BEE" w:rsidRPr="00FE7BEE" w:rsidRDefault="00FE7BEE" w:rsidP="007C46E3">
      <w:pPr>
        <w:spacing w:after="0"/>
        <w:rPr>
          <w:rFonts w:ascii="Times New Roman" w:hAnsi="Times New Roman" w:cs="Times New Roman"/>
          <w:b/>
          <w:bCs/>
          <w:sz w:val="16"/>
          <w:szCs w:val="16"/>
        </w:rPr>
      </w:pPr>
    </w:p>
    <w:p w14:paraId="0FBA17BB" w14:textId="0998872D" w:rsidR="006B0AC7" w:rsidRPr="007C46E3" w:rsidRDefault="00D95E35" w:rsidP="00D95E35">
      <w:pPr>
        <w:spacing w:after="0"/>
        <w:rPr>
          <w:rFonts w:ascii="Times New Roman" w:hAnsi="Times New Roman" w:cs="Times New Roman"/>
          <w:b/>
          <w:bCs/>
        </w:rPr>
      </w:pPr>
      <w:r w:rsidRPr="00D95E35">
        <w:rPr>
          <w:rFonts w:ascii="Times New Roman" w:hAnsi="Times New Roman" w:cs="Times New Roman"/>
          <w:b/>
          <w:bCs/>
          <w:sz w:val="36"/>
          <w:szCs w:val="36"/>
        </w:rPr>
        <w:t>Texas Legislative Education Equity Coalition Urges State Leaders to Oppose Private Voucher Schemes</w:t>
      </w:r>
    </w:p>
    <w:p w14:paraId="1AE206B9" w14:textId="77777777" w:rsidR="004F5ED4" w:rsidRPr="004F5ED4" w:rsidRDefault="004F5ED4" w:rsidP="004F5ED4">
      <w:pPr>
        <w:spacing w:after="0"/>
        <w:jc w:val="center"/>
        <w:rPr>
          <w:rFonts w:ascii="Arial" w:hAnsi="Arial" w:cs="Arial"/>
          <w:sz w:val="20"/>
          <w:szCs w:val="20"/>
        </w:rPr>
      </w:pPr>
    </w:p>
    <w:p w14:paraId="58884801" w14:textId="71533E3A"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The Texas Legislative Education Equity Coalition condemns state leaders</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 xml:space="preserve"> recent support to divert public funds from public schools under the false guise of </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parental choice.</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 xml:space="preserve"> Under a voucher plan, Texas families will be left with fewer choices, poorly funded public schools, and a diminished public education system dedicated to serving all, including those with the greatest needs. Public funds should remain in public schools, the critical hubs of our communities.</w:t>
      </w:r>
    </w:p>
    <w:p w14:paraId="7F3F32B0"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36889275" w14:textId="21CD353B"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 xml:space="preserve">Gov. Greg Abbott recently announced his support for an education savings account plan, one type of voucher proposal, for </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every child in the state of Texas.</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 xml:space="preserve"> Later the same week, the State Board of Education rescinded its full-throated opposition to </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all attempts to divert public dollars away from public schools in the form of vouchers.</w:t>
      </w:r>
      <w:r w:rsidR="00FB5E36">
        <w:rPr>
          <w:rFonts w:ascii="Times New Roman" w:eastAsia="Times New Roman" w:hAnsi="Times New Roman" w:cs="Times New Roman"/>
          <w:color w:val="000000" w:themeColor="text1"/>
        </w:rPr>
        <w:t>”</w:t>
      </w:r>
    </w:p>
    <w:p w14:paraId="30676A8C"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0A6F40BF" w14:textId="77777777"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The State Board of Education has decided to stay out of the voucher debate, leaving it to the Legislature – where numerous bills that would divert public funds to private schools have already been filed – to decide whether public funds will remain in public schools.</w:t>
      </w:r>
    </w:p>
    <w:p w14:paraId="6913A897" w14:textId="77777777"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 xml:space="preserve"> </w:t>
      </w:r>
    </w:p>
    <w:p w14:paraId="32379474" w14:textId="34245C5A"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Public school advocates must stand firm against any attempts to pilfer money from our state</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 xml:space="preserve">s 5 million public school children. Support of or submission to any voucher plan is a betrayal of our students, their families, educators, and the communities we all live in. </w:t>
      </w:r>
    </w:p>
    <w:p w14:paraId="1946F9B0"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52E59CB8" w14:textId="471488C8"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Public funds should go to the schools that educate, care for, and raise our Texan children. Any plan to divert public money to private schools will reduce the services public schools can provide and make it harder to keep teachers we need employed. At the same time, children may be subject to more discrimination from private schools, which don</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t have to serve all students equally. This means that students with disabilities, in special education, bilingual education, or of diverse religious and gender identities could be denied admission and educational services.</w:t>
      </w:r>
    </w:p>
    <w:p w14:paraId="4DBA1922"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77630278" w14:textId="7AFE6F90"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 xml:space="preserve">We need not look far to see how voucher plans are playing out in other states. In Arizona, the vast majority of families applying for vouchers </w:t>
      </w:r>
      <w:hyperlink r:id="rId12" w:history="1">
        <w:r w:rsidRPr="007050E6">
          <w:rPr>
            <w:rStyle w:val="Hyperlink"/>
            <w:rFonts w:ascii="Times New Roman" w:eastAsia="Times New Roman" w:hAnsi="Times New Roman" w:cs="Times New Roman"/>
          </w:rPr>
          <w:t>already enroll students in private schools,</w:t>
        </w:r>
      </w:hyperlink>
      <w:r w:rsidRPr="007050E6">
        <w:rPr>
          <w:rFonts w:ascii="Times New Roman" w:eastAsia="Times New Roman" w:hAnsi="Times New Roman" w:cs="Times New Roman"/>
          <w:color w:val="000000" w:themeColor="text1"/>
        </w:rPr>
        <w:t xml:space="preserve"> letting the vouchers just act as a subsidy to those already attending. And even after decades of voucher systems in effect, researchers have found there is </w:t>
      </w:r>
      <w:hyperlink r:id="rId13" w:history="1">
        <w:r w:rsidRPr="007050E6">
          <w:rPr>
            <w:rStyle w:val="Hyperlink"/>
            <w:rFonts w:ascii="Times New Roman" w:eastAsia="Times New Roman" w:hAnsi="Times New Roman" w:cs="Times New Roman"/>
          </w:rPr>
          <w:t>no evidence that they significantly increase student achievement</w:t>
        </w:r>
      </w:hyperlink>
      <w:r w:rsidRPr="007050E6">
        <w:rPr>
          <w:rFonts w:ascii="Times New Roman" w:eastAsia="Times New Roman" w:hAnsi="Times New Roman" w:cs="Times New Roman"/>
          <w:color w:val="000000" w:themeColor="text1"/>
        </w:rPr>
        <w:t>.</w:t>
      </w:r>
    </w:p>
    <w:p w14:paraId="2C629C9F"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5E1F504F" w14:textId="42BD3EB1"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b/>
          <w:bCs/>
          <w:color w:val="000000" w:themeColor="text1"/>
        </w:rPr>
        <w:t>The best way to strengthen public schools is to strengthen public schools:</w:t>
      </w:r>
      <w:r w:rsidRPr="007050E6">
        <w:rPr>
          <w:rFonts w:ascii="Times New Roman" w:eastAsia="Times New Roman" w:hAnsi="Times New Roman" w:cs="Times New Roman"/>
          <w:color w:val="000000" w:themeColor="text1"/>
        </w:rPr>
        <w:t xml:space="preserve"> invest in basic and weighted funding, support high-quality teachers and programs, and encourage authentic engagement with schools</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 xml:space="preserve"> diverse families and communities.</w:t>
      </w:r>
    </w:p>
    <w:p w14:paraId="7258CAA7" w14:textId="77777777" w:rsidR="007050E6" w:rsidRPr="007050E6" w:rsidRDefault="007050E6" w:rsidP="007050E6">
      <w:pPr>
        <w:spacing w:after="0"/>
        <w:rPr>
          <w:rFonts w:ascii="Times New Roman" w:eastAsia="Times New Roman" w:hAnsi="Times New Roman" w:cs="Times New Roman"/>
          <w:color w:val="000000" w:themeColor="text1"/>
        </w:rPr>
      </w:pPr>
    </w:p>
    <w:p w14:paraId="53634E58" w14:textId="683A2C74"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lastRenderedPageBreak/>
        <w:t>Public accountability won</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t follow the public money given to fund private school tuition. Private schools won</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t be required to accept all students, no matter their needs. The public won</w:t>
      </w:r>
      <w:r w:rsidR="00FB5E36">
        <w:rPr>
          <w:rFonts w:ascii="Times New Roman" w:eastAsia="Times New Roman" w:hAnsi="Times New Roman" w:cs="Times New Roman"/>
          <w:color w:val="000000" w:themeColor="text1"/>
        </w:rPr>
        <w:t>’</w:t>
      </w:r>
      <w:r w:rsidRPr="007050E6">
        <w:rPr>
          <w:rFonts w:ascii="Times New Roman" w:eastAsia="Times New Roman" w:hAnsi="Times New Roman" w:cs="Times New Roman"/>
          <w:color w:val="000000" w:themeColor="text1"/>
        </w:rPr>
        <w:t>t be able to decide if the investment is worth it. Private schools will cherry-pick the easiest- and cheapest-to-serve students, leaving those with the greatest needs in public schools with reduced funding, further eroding our system.</w:t>
      </w:r>
    </w:p>
    <w:p w14:paraId="23C1728B"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63990211" w14:textId="69239522" w:rsidR="007050E6" w:rsidRDefault="00FB5E36" w:rsidP="007050E6">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w:t>
      </w:r>
      <w:r w:rsidRPr="00FB5E36">
        <w:rPr>
          <w:rFonts w:ascii="Times New Roman" w:eastAsia="Times New Roman" w:hAnsi="Times New Roman" w:cs="Times New Roman"/>
          <w:color w:val="000000" w:themeColor="text1"/>
        </w:rPr>
        <w:t>ucher plans don</w:t>
      </w:r>
      <w:r>
        <w:rPr>
          <w:rFonts w:ascii="Times New Roman" w:eastAsia="Times New Roman" w:hAnsi="Times New Roman" w:cs="Times New Roman"/>
          <w:color w:val="000000" w:themeColor="text1"/>
        </w:rPr>
        <w:t>’</w:t>
      </w:r>
      <w:r w:rsidRPr="00FB5E36">
        <w:rPr>
          <w:rFonts w:ascii="Times New Roman" w:eastAsia="Times New Roman" w:hAnsi="Times New Roman" w:cs="Times New Roman"/>
          <w:color w:val="000000" w:themeColor="text1"/>
        </w:rPr>
        <w:t>t bring Texas schools any closer to accountability, transparency, or serving all students. Let</w:t>
      </w:r>
      <w:r>
        <w:rPr>
          <w:rFonts w:ascii="Times New Roman" w:eastAsia="Times New Roman" w:hAnsi="Times New Roman" w:cs="Times New Roman"/>
          <w:color w:val="000000" w:themeColor="text1"/>
        </w:rPr>
        <w:t>’</w:t>
      </w:r>
      <w:r w:rsidRPr="00FB5E36">
        <w:rPr>
          <w:rFonts w:ascii="Times New Roman" w:eastAsia="Times New Roman" w:hAnsi="Times New Roman" w:cs="Times New Roman"/>
          <w:color w:val="000000" w:themeColor="text1"/>
        </w:rPr>
        <w:t>s support our public schools that stay in the hands of all Texans.</w:t>
      </w:r>
    </w:p>
    <w:p w14:paraId="6D7B4279" w14:textId="77777777" w:rsidR="00FB5E36" w:rsidRPr="007050E6" w:rsidRDefault="00FB5E36" w:rsidP="007050E6">
      <w:pPr>
        <w:spacing w:after="0"/>
        <w:jc w:val="both"/>
        <w:rPr>
          <w:rFonts w:ascii="Times New Roman" w:eastAsia="Times New Roman" w:hAnsi="Times New Roman" w:cs="Times New Roman"/>
          <w:color w:val="000000" w:themeColor="text1"/>
        </w:rPr>
      </w:pPr>
    </w:p>
    <w:p w14:paraId="7FF12555" w14:textId="77777777" w:rsidR="007050E6" w:rsidRPr="007050E6"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We call on policymakers, at the statehouse and State Board of Education, to staunchly and loudly oppose voucher plans in any form and to support the full funding of public schools.</w:t>
      </w:r>
    </w:p>
    <w:p w14:paraId="613221F1" w14:textId="77777777" w:rsidR="007050E6" w:rsidRPr="007050E6" w:rsidRDefault="007050E6" w:rsidP="007050E6">
      <w:pPr>
        <w:spacing w:after="0"/>
        <w:jc w:val="both"/>
        <w:rPr>
          <w:rFonts w:ascii="Times New Roman" w:eastAsia="Times New Roman" w:hAnsi="Times New Roman" w:cs="Times New Roman"/>
          <w:color w:val="000000" w:themeColor="text1"/>
        </w:rPr>
      </w:pPr>
    </w:p>
    <w:p w14:paraId="1C359A41" w14:textId="0057E616" w:rsidR="00A268C9" w:rsidRDefault="007050E6" w:rsidP="007050E6">
      <w:pPr>
        <w:spacing w:after="0"/>
        <w:jc w:val="both"/>
        <w:rPr>
          <w:rFonts w:ascii="Times New Roman" w:eastAsia="Times New Roman" w:hAnsi="Times New Roman" w:cs="Times New Roman"/>
          <w:color w:val="000000" w:themeColor="text1"/>
        </w:rPr>
      </w:pPr>
      <w:r w:rsidRPr="007050E6">
        <w:rPr>
          <w:rFonts w:ascii="Times New Roman" w:eastAsia="Times New Roman" w:hAnsi="Times New Roman" w:cs="Times New Roman"/>
          <w:color w:val="000000" w:themeColor="text1"/>
        </w:rPr>
        <w:t>For questions, contact TLEEC either through Jaime Puente, at Every Texan (</w:t>
      </w:r>
      <w:hyperlink r:id="rId14" w:history="1">
        <w:r w:rsidRPr="00790FD8">
          <w:rPr>
            <w:rStyle w:val="Hyperlink"/>
            <w:rFonts w:ascii="Times New Roman" w:eastAsia="Times New Roman" w:hAnsi="Times New Roman" w:cs="Times New Roman"/>
          </w:rPr>
          <w:t>puente@everytexan.org</w:t>
        </w:r>
      </w:hyperlink>
      <w:r w:rsidRPr="007050E6">
        <w:rPr>
          <w:rFonts w:ascii="Times New Roman" w:eastAsia="Times New Roman" w:hAnsi="Times New Roman" w:cs="Times New Roman"/>
          <w:color w:val="000000" w:themeColor="text1"/>
        </w:rPr>
        <w:t>), Dr. Chloe Latham Sikes at IDRA (</w:t>
      </w:r>
      <w:hyperlink r:id="rId15" w:history="1">
        <w:r w:rsidRPr="00790FD8">
          <w:rPr>
            <w:rStyle w:val="Hyperlink"/>
            <w:rFonts w:ascii="Times New Roman" w:eastAsia="Times New Roman" w:hAnsi="Times New Roman" w:cs="Times New Roman"/>
          </w:rPr>
          <w:t>chloe.sikes@idra.org</w:t>
        </w:r>
      </w:hyperlink>
      <w:r w:rsidRPr="007050E6">
        <w:rPr>
          <w:rFonts w:ascii="Times New Roman" w:eastAsia="Times New Roman" w:hAnsi="Times New Roman" w:cs="Times New Roman"/>
          <w:color w:val="000000" w:themeColor="text1"/>
        </w:rPr>
        <w:t>), or Fátima Menéndez at MALDEF (</w:t>
      </w:r>
      <w:hyperlink r:id="rId16" w:history="1">
        <w:r w:rsidRPr="00790FD8">
          <w:rPr>
            <w:rStyle w:val="Hyperlink"/>
            <w:rFonts w:ascii="Times New Roman" w:eastAsia="Times New Roman" w:hAnsi="Times New Roman" w:cs="Times New Roman"/>
          </w:rPr>
          <w:t>fmenendez@maldef.org</w:t>
        </w:r>
      </w:hyperlink>
      <w:r w:rsidRPr="007050E6">
        <w:rPr>
          <w:rFonts w:ascii="Times New Roman" w:eastAsia="Times New Roman" w:hAnsi="Times New Roman" w:cs="Times New Roman"/>
          <w:color w:val="000000" w:themeColor="text1"/>
        </w:rPr>
        <w:t>).</w:t>
      </w:r>
    </w:p>
    <w:p w14:paraId="3F73330E" w14:textId="77777777" w:rsidR="007050E6" w:rsidRDefault="007050E6" w:rsidP="007050E6">
      <w:pPr>
        <w:spacing w:after="0"/>
        <w:rPr>
          <w:rFonts w:ascii="Times New Roman" w:eastAsia="Times New Roman" w:hAnsi="Times New Roman" w:cs="Times New Roman"/>
        </w:rPr>
      </w:pPr>
    </w:p>
    <w:p w14:paraId="35DADCA8" w14:textId="14A78069" w:rsidR="00A268C9" w:rsidRDefault="00A268C9" w:rsidP="004229C1">
      <w:pPr>
        <w:spacing w:after="0"/>
        <w:rPr>
          <w:rFonts w:ascii="Times New Roman" w:eastAsia="Times New Roman" w:hAnsi="Times New Roman" w:cs="Times New Roman"/>
          <w:b/>
        </w:rPr>
      </w:pPr>
      <w:r>
        <w:rPr>
          <w:rFonts w:ascii="Times New Roman" w:eastAsia="Times New Roman" w:hAnsi="Times New Roman" w:cs="Times New Roman"/>
          <w:b/>
        </w:rPr>
        <w:t>References</w:t>
      </w:r>
    </w:p>
    <w:p w14:paraId="1553EE6B" w14:textId="26ED7FEC" w:rsidR="007050E6" w:rsidRPr="007050E6" w:rsidRDefault="007050E6" w:rsidP="007050E6">
      <w:pPr>
        <w:spacing w:after="0"/>
        <w:ind w:left="720" w:hanging="720"/>
        <w:jc w:val="both"/>
        <w:rPr>
          <w:rFonts w:ascii="Times New Roman" w:eastAsia="Times New Roman" w:hAnsi="Times New Roman" w:cs="Times New Roman"/>
          <w:sz w:val="18"/>
          <w:szCs w:val="18"/>
        </w:rPr>
      </w:pPr>
      <w:r w:rsidRPr="007050E6">
        <w:rPr>
          <w:rFonts w:ascii="Times New Roman" w:eastAsia="Times New Roman" w:hAnsi="Times New Roman" w:cs="Times New Roman"/>
          <w:sz w:val="18"/>
          <w:szCs w:val="18"/>
        </w:rPr>
        <w:t>Fischer</w:t>
      </w:r>
      <w:r>
        <w:rPr>
          <w:rFonts w:ascii="Times New Roman" w:eastAsia="Times New Roman" w:hAnsi="Times New Roman" w:cs="Times New Roman"/>
          <w:sz w:val="18"/>
          <w:szCs w:val="18"/>
        </w:rPr>
        <w:t>, H.</w:t>
      </w:r>
      <w:r w:rsidRPr="007050E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7050E6">
        <w:rPr>
          <w:rFonts w:ascii="Times New Roman" w:eastAsia="Times New Roman" w:hAnsi="Times New Roman" w:cs="Times New Roman"/>
          <w:sz w:val="18"/>
          <w:szCs w:val="18"/>
        </w:rPr>
        <w:t>Sep</w:t>
      </w:r>
      <w:r>
        <w:rPr>
          <w:rFonts w:ascii="Times New Roman" w:eastAsia="Times New Roman" w:hAnsi="Times New Roman" w:cs="Times New Roman"/>
          <w:sz w:val="18"/>
          <w:szCs w:val="18"/>
        </w:rPr>
        <w:t>tember</w:t>
      </w:r>
      <w:r w:rsidRPr="007050E6">
        <w:rPr>
          <w:rFonts w:ascii="Times New Roman" w:eastAsia="Times New Roman" w:hAnsi="Times New Roman" w:cs="Times New Roman"/>
          <w:sz w:val="18"/>
          <w:szCs w:val="18"/>
        </w:rPr>
        <w:t xml:space="preserve"> 8, 2022</w:t>
      </w:r>
      <w:r>
        <w:rPr>
          <w:rFonts w:ascii="Times New Roman" w:eastAsia="Times New Roman" w:hAnsi="Times New Roman" w:cs="Times New Roman"/>
          <w:sz w:val="18"/>
          <w:szCs w:val="18"/>
        </w:rPr>
        <w:t xml:space="preserve">). </w:t>
      </w:r>
      <w:r w:rsidRPr="007050E6">
        <w:rPr>
          <w:rFonts w:ascii="Times New Roman" w:eastAsia="Times New Roman" w:hAnsi="Times New Roman" w:cs="Times New Roman"/>
          <w:sz w:val="18"/>
          <w:szCs w:val="18"/>
        </w:rPr>
        <w:t>Most applying for Arizona vouchers already go to private schools</w:t>
      </w:r>
      <w:r>
        <w:rPr>
          <w:rFonts w:ascii="Times New Roman" w:eastAsia="Times New Roman" w:hAnsi="Times New Roman" w:cs="Times New Roman"/>
          <w:sz w:val="18"/>
          <w:szCs w:val="18"/>
        </w:rPr>
        <w:t xml:space="preserve">. </w:t>
      </w:r>
      <w:r w:rsidRPr="007050E6">
        <w:rPr>
          <w:rFonts w:ascii="Times New Roman" w:eastAsia="Times New Roman" w:hAnsi="Times New Roman" w:cs="Times New Roman"/>
          <w:sz w:val="18"/>
          <w:szCs w:val="18"/>
        </w:rPr>
        <w:t>Arizona Daily Star</w:t>
      </w:r>
      <w:r>
        <w:rPr>
          <w:rFonts w:ascii="Times New Roman" w:eastAsia="Times New Roman" w:hAnsi="Times New Roman" w:cs="Times New Roman"/>
          <w:sz w:val="18"/>
          <w:szCs w:val="18"/>
        </w:rPr>
        <w:t>.</w:t>
      </w:r>
    </w:p>
    <w:p w14:paraId="0F52A888" w14:textId="1A0671C5" w:rsidR="007050E6" w:rsidRPr="007050E6" w:rsidRDefault="007050E6" w:rsidP="007050E6">
      <w:pPr>
        <w:spacing w:after="0"/>
        <w:ind w:left="720" w:hanging="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Spector, C. (</w:t>
      </w:r>
      <w:r w:rsidRPr="007050E6">
        <w:rPr>
          <w:rFonts w:ascii="Times New Roman" w:eastAsia="Times New Roman" w:hAnsi="Times New Roman" w:cs="Times New Roman"/>
          <w:sz w:val="18"/>
          <w:szCs w:val="18"/>
        </w:rPr>
        <w:t>February 28, 2017</w:t>
      </w:r>
      <w:r>
        <w:rPr>
          <w:rFonts w:ascii="Times New Roman" w:eastAsia="Times New Roman" w:hAnsi="Times New Roman" w:cs="Times New Roman"/>
          <w:sz w:val="18"/>
          <w:szCs w:val="18"/>
        </w:rPr>
        <w:t xml:space="preserve">). </w:t>
      </w:r>
      <w:r w:rsidRPr="007050E6">
        <w:rPr>
          <w:rFonts w:ascii="Times New Roman" w:eastAsia="Times New Roman" w:hAnsi="Times New Roman" w:cs="Times New Roman"/>
          <w:sz w:val="18"/>
          <w:szCs w:val="18"/>
        </w:rPr>
        <w:t>Vouchers do not improve student achievement, Stanford researcher finds</w:t>
      </w:r>
      <w:r>
        <w:rPr>
          <w:rFonts w:ascii="Times New Roman" w:eastAsia="Times New Roman" w:hAnsi="Times New Roman" w:cs="Times New Roman"/>
          <w:sz w:val="18"/>
          <w:szCs w:val="18"/>
        </w:rPr>
        <w:t>. Stanford University News.</w:t>
      </w:r>
    </w:p>
    <w:p w14:paraId="5FDA7FDA" w14:textId="77777777" w:rsidR="00FE7BEE" w:rsidRPr="00FE7BEE" w:rsidRDefault="00FE7BEE" w:rsidP="00FE7BEE">
      <w:pPr>
        <w:spacing w:after="0"/>
        <w:ind w:left="720" w:hanging="720"/>
        <w:jc w:val="both"/>
        <w:rPr>
          <w:rFonts w:ascii="Arial" w:hAnsi="Arial" w:cs="Arial"/>
          <w:sz w:val="18"/>
          <w:szCs w:val="18"/>
        </w:rPr>
      </w:pPr>
    </w:p>
    <w:p w14:paraId="3622F23B" w14:textId="34B9AE54" w:rsidR="008F66FC" w:rsidRPr="00017D34" w:rsidRDefault="007050E6" w:rsidP="004F5ED4">
      <w:pPr>
        <w:spacing w:after="0"/>
        <w:jc w:val="both"/>
        <w:rPr>
          <w:rFonts w:ascii="Times New Roman" w:hAnsi="Times New Roman" w:cs="Times New Roman"/>
          <w:sz w:val="18"/>
          <w:szCs w:val="18"/>
        </w:rPr>
      </w:pPr>
      <w:r w:rsidRPr="007050E6">
        <w:rPr>
          <w:rFonts w:ascii="Times New Roman" w:hAnsi="Times New Roman" w:cs="Times New Roman"/>
          <w:i/>
          <w:iCs/>
          <w:sz w:val="18"/>
          <w:szCs w:val="18"/>
        </w:rPr>
        <w:t xml:space="preserve">The </w:t>
      </w:r>
      <w:hyperlink r:id="rId17" w:history="1">
        <w:r w:rsidRPr="007050E6">
          <w:rPr>
            <w:rStyle w:val="Hyperlink"/>
            <w:rFonts w:ascii="Times New Roman" w:hAnsi="Times New Roman" w:cs="Times New Roman"/>
            <w:i/>
            <w:iCs/>
            <w:sz w:val="18"/>
            <w:szCs w:val="18"/>
          </w:rPr>
          <w:t>Texas Legislative Education Equity Coalition</w:t>
        </w:r>
      </w:hyperlink>
      <w:r w:rsidRPr="007050E6">
        <w:rPr>
          <w:rFonts w:ascii="Times New Roman" w:hAnsi="Times New Roman" w:cs="Times New Roman"/>
          <w:i/>
          <w:iCs/>
          <w:sz w:val="18"/>
          <w:szCs w:val="18"/>
        </w:rPr>
        <w:t xml:space="preserve"> (TLEEC) is a collaborative of over 32 organizations and individuals with the mission to improve the quality of public education for all children, with a focus on racial equity. We advocate at the local, state and national levels for high-quality teaching, curriculum and instructional practices and bilingual education for English learners, as well as fair funding and enhanced college access and success</w:t>
      </w:r>
    </w:p>
    <w:p w14:paraId="7441DF5B" w14:textId="102B35DC" w:rsidR="00017D34" w:rsidRDefault="00017D34" w:rsidP="004F5ED4">
      <w:pPr>
        <w:spacing w:after="0"/>
        <w:jc w:val="both"/>
        <w:rPr>
          <w:rFonts w:ascii="Times New Roman" w:hAnsi="Times New Roman" w:cs="Times New Roman"/>
          <w:sz w:val="18"/>
          <w:szCs w:val="18"/>
        </w:rPr>
      </w:pPr>
    </w:p>
    <w:p w14:paraId="64BDE9EC" w14:textId="77777777" w:rsidR="00A30B77" w:rsidRPr="00017D34" w:rsidRDefault="00A30B77" w:rsidP="004F5ED4">
      <w:pPr>
        <w:spacing w:after="0"/>
        <w:jc w:val="both"/>
        <w:rPr>
          <w:rFonts w:ascii="Times New Roman" w:hAnsi="Times New Roman" w:cs="Times New Roman"/>
          <w:sz w:val="18"/>
          <w:szCs w:val="18"/>
        </w:rPr>
      </w:pPr>
    </w:p>
    <w:p w14:paraId="2F6B8B74" w14:textId="2021D490" w:rsidR="00017D34" w:rsidRPr="00A4313C" w:rsidRDefault="00017D34" w:rsidP="00A30B77">
      <w:pPr>
        <w:shd w:val="clear" w:color="auto" w:fill="C45911" w:themeFill="accent2" w:themeFillShade="BF"/>
        <w:spacing w:after="120"/>
        <w:jc w:val="center"/>
        <w:rPr>
          <w:rFonts w:ascii="Times New Roman" w:hAnsi="Times New Roman" w:cs="Times New Roman"/>
          <w:b/>
          <w:bCs/>
          <w:color w:val="FFFFFF" w:themeColor="background1"/>
        </w:rPr>
      </w:pPr>
      <w:r w:rsidRPr="00A4313C">
        <w:rPr>
          <w:rFonts w:ascii="Times New Roman" w:hAnsi="Times New Roman" w:cs="Times New Roman"/>
          <w:b/>
          <w:bCs/>
          <w:color w:val="FFFFFF" w:themeColor="background1"/>
        </w:rPr>
        <w:t>TLEEC Member Organizations</w:t>
      </w:r>
    </w:p>
    <w:p w14:paraId="060DC951" w14:textId="77777777" w:rsidR="00A4313C" w:rsidRPr="00A4313C" w:rsidRDefault="00A4313C" w:rsidP="00A4313C">
      <w:pPr>
        <w:shd w:val="clear" w:color="auto" w:fill="C45911" w:themeFill="accent2" w:themeFillShade="BF"/>
        <w:spacing w:after="0"/>
        <w:jc w:val="both"/>
        <w:rPr>
          <w:rFonts w:ascii="Times New Roman" w:hAnsi="Times New Roman" w:cs="Times New Roman"/>
        </w:rPr>
        <w:sectPr w:rsidR="00A4313C" w:rsidRPr="00A4313C" w:rsidSect="007050E6">
          <w:footerReference w:type="default" r:id="rId18"/>
          <w:pgSz w:w="12240" w:h="15840" w:code="1"/>
          <w:pgMar w:top="1440" w:right="1440" w:bottom="1008" w:left="1440" w:header="720" w:footer="576" w:gutter="0"/>
          <w:cols w:space="720"/>
          <w:docGrid w:linePitch="360"/>
        </w:sectPr>
      </w:pPr>
    </w:p>
    <w:p w14:paraId="74D6BF74" w14:textId="77777777" w:rsidR="007050E6" w:rsidRDefault="007050E6" w:rsidP="00A30B77">
      <w:pPr>
        <w:spacing w:after="0"/>
        <w:ind w:left="180" w:hanging="180"/>
        <w:rPr>
          <w:rFonts w:ascii="Times New Roman" w:hAnsi="Times New Roman" w:cs="Times New Roman"/>
          <w:sz w:val="18"/>
          <w:szCs w:val="18"/>
        </w:rPr>
      </w:pPr>
      <w:r w:rsidRPr="007050E6">
        <w:rPr>
          <w:rFonts w:ascii="Times New Roman" w:hAnsi="Times New Roman" w:cs="Times New Roman"/>
          <w:sz w:val="18"/>
          <w:szCs w:val="18"/>
        </w:rPr>
        <w:t>Austin Justice Coalition</w:t>
      </w:r>
    </w:p>
    <w:p w14:paraId="2E1676DB" w14:textId="7E9D551A"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ARISE Adelante</w:t>
      </w:r>
    </w:p>
    <w:p w14:paraId="0EFB9512" w14:textId="6D7BAC77" w:rsid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Breakthrough Central Texas</w:t>
      </w:r>
    </w:p>
    <w:p w14:paraId="3C943DA7" w14:textId="16A153C3" w:rsidR="007050E6" w:rsidRPr="00017D34" w:rsidRDefault="007050E6" w:rsidP="00A30B77">
      <w:pPr>
        <w:spacing w:after="0"/>
        <w:ind w:left="180" w:hanging="180"/>
        <w:rPr>
          <w:rFonts w:ascii="Times New Roman" w:hAnsi="Times New Roman" w:cs="Times New Roman"/>
          <w:sz w:val="18"/>
          <w:szCs w:val="18"/>
        </w:rPr>
      </w:pPr>
      <w:r w:rsidRPr="007050E6">
        <w:rPr>
          <w:rFonts w:ascii="Times New Roman" w:hAnsi="Times New Roman" w:cs="Times New Roman"/>
          <w:sz w:val="18"/>
          <w:szCs w:val="18"/>
        </w:rPr>
        <w:t>Children at Risk</w:t>
      </w:r>
    </w:p>
    <w:p w14:paraId="64927C00"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Coalition of Texans with Disabilities</w:t>
      </w:r>
    </w:p>
    <w:p w14:paraId="781BB515"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Dr. Hector P. García G.I. Forum</w:t>
      </w:r>
    </w:p>
    <w:p w14:paraId="4F6CBBF8" w14:textId="77777777" w:rsidR="00A30B77" w:rsidRPr="00A30B77" w:rsidRDefault="00A30B77" w:rsidP="00A30B77">
      <w:pPr>
        <w:spacing w:after="0"/>
        <w:ind w:left="180" w:hanging="180"/>
        <w:rPr>
          <w:rFonts w:ascii="Times New Roman" w:hAnsi="Times New Roman" w:cs="Times New Roman"/>
          <w:sz w:val="18"/>
          <w:szCs w:val="18"/>
        </w:rPr>
      </w:pPr>
      <w:r w:rsidRPr="00A30B77">
        <w:rPr>
          <w:rFonts w:ascii="Times New Roman" w:hAnsi="Times New Roman" w:cs="Times New Roman"/>
          <w:sz w:val="18"/>
          <w:szCs w:val="18"/>
        </w:rPr>
        <w:t>Easterseals Central Texas</w:t>
      </w:r>
    </w:p>
    <w:p w14:paraId="6C7A7C77" w14:textId="0EC8BD2F" w:rsidR="00A30B77" w:rsidRDefault="00A30B77" w:rsidP="00A30B77">
      <w:pPr>
        <w:spacing w:after="0"/>
        <w:ind w:left="180" w:hanging="180"/>
        <w:rPr>
          <w:rFonts w:ascii="Times New Roman" w:hAnsi="Times New Roman" w:cs="Times New Roman"/>
          <w:sz w:val="18"/>
          <w:szCs w:val="18"/>
        </w:rPr>
      </w:pPr>
      <w:r w:rsidRPr="00A30B77">
        <w:rPr>
          <w:rFonts w:ascii="Times New Roman" w:hAnsi="Times New Roman" w:cs="Times New Roman"/>
          <w:sz w:val="18"/>
          <w:szCs w:val="18"/>
        </w:rPr>
        <w:t>Ethnic Studies Network of Texas (ESNTX)</w:t>
      </w:r>
    </w:p>
    <w:p w14:paraId="4A2C5855" w14:textId="04BD47DC"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 xml:space="preserve">Every Texan </w:t>
      </w:r>
    </w:p>
    <w:p w14:paraId="60EB813D" w14:textId="750F463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IDRA</w:t>
      </w:r>
    </w:p>
    <w:p w14:paraId="6F307AA6" w14:textId="6605A955" w:rsid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McNeil Educational Foundation for Ecumenical Leadership</w:t>
      </w:r>
    </w:p>
    <w:p w14:paraId="023E1DBD" w14:textId="0559DD4F" w:rsidR="00A30B77" w:rsidRDefault="00F12327" w:rsidP="00A30B77">
      <w:pPr>
        <w:spacing w:after="0"/>
        <w:ind w:left="180" w:hanging="180"/>
        <w:rPr>
          <w:rFonts w:ascii="Times New Roman" w:hAnsi="Times New Roman" w:cs="Times New Roman"/>
          <w:sz w:val="18"/>
          <w:szCs w:val="18"/>
        </w:rPr>
      </w:pPr>
      <w:r>
        <w:rPr>
          <w:rFonts w:ascii="Times New Roman" w:hAnsi="Times New Roman" w:cs="Times New Roman"/>
          <w:sz w:val="18"/>
          <w:szCs w:val="18"/>
        </w:rPr>
        <w:t>Measure</w:t>
      </w:r>
    </w:p>
    <w:p w14:paraId="3C980C90" w14:textId="60D146AC" w:rsidR="00A30B77" w:rsidRPr="00017D34" w:rsidRDefault="00A30B77" w:rsidP="00A30B77">
      <w:pPr>
        <w:spacing w:after="0"/>
        <w:ind w:left="180" w:hanging="180"/>
        <w:rPr>
          <w:rFonts w:ascii="Times New Roman" w:hAnsi="Times New Roman" w:cs="Times New Roman"/>
          <w:sz w:val="18"/>
          <w:szCs w:val="18"/>
        </w:rPr>
      </w:pPr>
      <w:r w:rsidRPr="00A30B77">
        <w:rPr>
          <w:rFonts w:ascii="Times New Roman" w:hAnsi="Times New Roman" w:cs="Times New Roman"/>
          <w:sz w:val="18"/>
          <w:szCs w:val="18"/>
        </w:rPr>
        <w:t>Mexican American Civil Rights Institute (MACRI)</w:t>
      </w:r>
    </w:p>
    <w:p w14:paraId="31DE1BBB"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Mexican American Legal Defense and Educational Fund (MALDEF)</w:t>
      </w:r>
    </w:p>
    <w:p w14:paraId="30DA9E4A"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Mexican American School Board Members Association (MASBA)</w:t>
      </w:r>
    </w:p>
    <w:p w14:paraId="4DF7500D"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National Association for Chicana and Chicano Studies (NACCS) – Tejas Foco</w:t>
      </w:r>
    </w:p>
    <w:p w14:paraId="23C6F464"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San Antonio Hispanic Chamber of Commerce</w:t>
      </w:r>
    </w:p>
    <w:p w14:paraId="229A68DC"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American Federation of Teachers</w:t>
      </w:r>
    </w:p>
    <w:p w14:paraId="18B5932C"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Association for Bilingual Education (TABE)</w:t>
      </w:r>
    </w:p>
    <w:p w14:paraId="08DBAAE5"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Association for Chicanos in Higher Education (TACHE)</w:t>
      </w:r>
    </w:p>
    <w:p w14:paraId="6F570290"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Association of Mexican American Chambers of Commerce (TAMACC)</w:t>
      </w:r>
    </w:p>
    <w:p w14:paraId="780A436C"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Center for Education Policy at the University of Texas – Austin</w:t>
      </w:r>
    </w:p>
    <w:p w14:paraId="3CC982D7"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Hispanics Organized for Political Education (HOPE)</w:t>
      </w:r>
    </w:p>
    <w:p w14:paraId="19AD4EA5" w14:textId="77777777" w:rsidR="00017D34" w:rsidRP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League of United Latin American Citizens (LULAC)</w:t>
      </w:r>
    </w:p>
    <w:p w14:paraId="28AECFEF" w14:textId="57913117" w:rsidR="00017D34" w:rsidRDefault="00017D34" w:rsidP="00A30B77">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Texas NAACP</w:t>
      </w:r>
    </w:p>
    <w:p w14:paraId="5988D618" w14:textId="77777777" w:rsidR="00A30B77" w:rsidRPr="00A30B77" w:rsidRDefault="00A30B77" w:rsidP="00A30B77">
      <w:pPr>
        <w:spacing w:after="0"/>
        <w:ind w:left="180" w:hanging="180"/>
        <w:rPr>
          <w:rFonts w:ascii="Times New Roman" w:hAnsi="Times New Roman" w:cs="Times New Roman"/>
          <w:sz w:val="18"/>
          <w:szCs w:val="18"/>
        </w:rPr>
      </w:pPr>
      <w:r w:rsidRPr="00A30B77">
        <w:rPr>
          <w:rFonts w:ascii="Times New Roman" w:hAnsi="Times New Roman" w:cs="Times New Roman"/>
          <w:sz w:val="18"/>
          <w:szCs w:val="18"/>
        </w:rPr>
        <w:t>Texas State Teachers Association (TSTA)</w:t>
      </w:r>
    </w:p>
    <w:p w14:paraId="78151BD0" w14:textId="5F783878" w:rsidR="00A30B77" w:rsidRPr="00017D34" w:rsidRDefault="00A30B77" w:rsidP="00A30B77">
      <w:pPr>
        <w:spacing w:after="0"/>
        <w:ind w:left="180" w:hanging="180"/>
        <w:rPr>
          <w:rFonts w:ascii="Times New Roman" w:hAnsi="Times New Roman" w:cs="Times New Roman"/>
          <w:sz w:val="18"/>
          <w:szCs w:val="18"/>
        </w:rPr>
      </w:pPr>
      <w:r w:rsidRPr="00A30B77">
        <w:rPr>
          <w:rFonts w:ascii="Times New Roman" w:hAnsi="Times New Roman" w:cs="Times New Roman"/>
          <w:sz w:val="18"/>
          <w:szCs w:val="18"/>
        </w:rPr>
        <w:t>The Arc of Texas</w:t>
      </w:r>
    </w:p>
    <w:p w14:paraId="09AA1322" w14:textId="77777777" w:rsidR="00A30B77" w:rsidRPr="00A30B77" w:rsidRDefault="00A30B77" w:rsidP="00A30B77">
      <w:pPr>
        <w:spacing w:after="0"/>
        <w:ind w:left="180" w:hanging="180"/>
        <w:rPr>
          <w:rFonts w:ascii="Times New Roman" w:hAnsi="Times New Roman" w:cs="Times New Roman"/>
          <w:sz w:val="18"/>
          <w:szCs w:val="18"/>
        </w:rPr>
      </w:pPr>
      <w:r w:rsidRPr="00A30B77">
        <w:rPr>
          <w:rFonts w:ascii="Times New Roman" w:hAnsi="Times New Roman" w:cs="Times New Roman"/>
          <w:sz w:val="18"/>
          <w:szCs w:val="18"/>
        </w:rPr>
        <w:t>The Texas Association of Diversity Officers in Higher Education (TADOHE)</w:t>
      </w:r>
    </w:p>
    <w:p w14:paraId="07714CEA" w14:textId="0095C299" w:rsidR="00017D34" w:rsidRPr="00017D34" w:rsidRDefault="00017D34" w:rsidP="00B74A2A">
      <w:pPr>
        <w:spacing w:after="0"/>
        <w:ind w:left="180" w:hanging="180"/>
        <w:rPr>
          <w:rFonts w:ascii="Times New Roman" w:hAnsi="Times New Roman" w:cs="Times New Roman"/>
          <w:sz w:val="18"/>
          <w:szCs w:val="18"/>
        </w:rPr>
      </w:pPr>
      <w:r w:rsidRPr="00017D34">
        <w:rPr>
          <w:rFonts w:ascii="Times New Roman" w:hAnsi="Times New Roman" w:cs="Times New Roman"/>
          <w:sz w:val="18"/>
          <w:szCs w:val="18"/>
        </w:rPr>
        <w:t>UnidosUS (formerly known as NCLR)</w:t>
      </w:r>
    </w:p>
    <w:sectPr w:rsidR="00017D34" w:rsidRPr="00017D34" w:rsidSect="00B74A2A">
      <w:type w:val="continuous"/>
      <w:pgSz w:w="12240" w:h="15840" w:code="1"/>
      <w:pgMar w:top="1440" w:right="1440" w:bottom="1008" w:left="144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A72E" w14:textId="77777777" w:rsidR="0076786E" w:rsidRDefault="0076786E" w:rsidP="003B3938">
      <w:pPr>
        <w:spacing w:after="0" w:line="240" w:lineRule="auto"/>
      </w:pPr>
      <w:r>
        <w:separator/>
      </w:r>
    </w:p>
  </w:endnote>
  <w:endnote w:type="continuationSeparator" w:id="0">
    <w:p w14:paraId="38EDD049" w14:textId="77777777" w:rsidR="0076786E" w:rsidRDefault="0076786E" w:rsidP="003B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C27" w14:textId="30BD018C" w:rsidR="6D85B390" w:rsidRPr="004229C1" w:rsidRDefault="00660CBB" w:rsidP="00660CBB">
    <w:pPr>
      <w:ind w:left="1170" w:hanging="1170"/>
      <w:jc w:val="right"/>
      <w:rPr>
        <w:rFonts w:ascii="Times New Roman" w:hAnsi="Times New Roman" w:cs="Times New Roman"/>
        <w:sz w:val="18"/>
        <w:szCs w:val="18"/>
      </w:rPr>
    </w:pPr>
    <w:bookmarkStart w:id="0" w:name="_Hlk56256794"/>
    <w:r w:rsidRPr="004229C1">
      <w:rPr>
        <w:rFonts w:ascii="Times New Roman" w:hAnsi="Times New Roman" w:cs="Times New Roman"/>
        <w:i/>
        <w:iCs/>
        <w:sz w:val="18"/>
        <w:szCs w:val="18"/>
      </w:rPr>
      <w:t>Texas Legislative Education Equity Coalition</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BA3D" w14:textId="77777777" w:rsidR="0076786E" w:rsidRDefault="0076786E" w:rsidP="003B3938">
      <w:pPr>
        <w:spacing w:after="0" w:line="240" w:lineRule="auto"/>
      </w:pPr>
      <w:r>
        <w:separator/>
      </w:r>
    </w:p>
  </w:footnote>
  <w:footnote w:type="continuationSeparator" w:id="0">
    <w:p w14:paraId="24D11016" w14:textId="77777777" w:rsidR="0076786E" w:rsidRDefault="0076786E" w:rsidP="003B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35A7"/>
    <w:multiLevelType w:val="hybridMultilevel"/>
    <w:tmpl w:val="1486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93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FC"/>
    <w:rsid w:val="00001931"/>
    <w:rsid w:val="00010772"/>
    <w:rsid w:val="0001445F"/>
    <w:rsid w:val="00016D51"/>
    <w:rsid w:val="00017D34"/>
    <w:rsid w:val="00032C67"/>
    <w:rsid w:val="0006102C"/>
    <w:rsid w:val="00066B2B"/>
    <w:rsid w:val="00075AC3"/>
    <w:rsid w:val="00080F86"/>
    <w:rsid w:val="000A0A6A"/>
    <w:rsid w:val="000D22BC"/>
    <w:rsid w:val="000D40A1"/>
    <w:rsid w:val="000E0D75"/>
    <w:rsid w:val="000E11FC"/>
    <w:rsid w:val="000E36EE"/>
    <w:rsid w:val="000E4AAF"/>
    <w:rsid w:val="000E502F"/>
    <w:rsid w:val="00102BEC"/>
    <w:rsid w:val="001351DD"/>
    <w:rsid w:val="00137724"/>
    <w:rsid w:val="001411A6"/>
    <w:rsid w:val="001605DA"/>
    <w:rsid w:val="00167F8B"/>
    <w:rsid w:val="00174555"/>
    <w:rsid w:val="00181F3F"/>
    <w:rsid w:val="001854B6"/>
    <w:rsid w:val="00185896"/>
    <w:rsid w:val="001C60A8"/>
    <w:rsid w:val="001F1AD7"/>
    <w:rsid w:val="002044CB"/>
    <w:rsid w:val="00205915"/>
    <w:rsid w:val="002127CF"/>
    <w:rsid w:val="00222A2C"/>
    <w:rsid w:val="0024078D"/>
    <w:rsid w:val="00240FC6"/>
    <w:rsid w:val="00243461"/>
    <w:rsid w:val="00255816"/>
    <w:rsid w:val="0029233E"/>
    <w:rsid w:val="00297E63"/>
    <w:rsid w:val="002D0D55"/>
    <w:rsid w:val="002E400E"/>
    <w:rsid w:val="002E49F6"/>
    <w:rsid w:val="00303BC4"/>
    <w:rsid w:val="003433E7"/>
    <w:rsid w:val="0037283F"/>
    <w:rsid w:val="00381A45"/>
    <w:rsid w:val="003826E7"/>
    <w:rsid w:val="003829EC"/>
    <w:rsid w:val="00384223"/>
    <w:rsid w:val="00391040"/>
    <w:rsid w:val="00393861"/>
    <w:rsid w:val="003B05B5"/>
    <w:rsid w:val="003B3938"/>
    <w:rsid w:val="003B3AD3"/>
    <w:rsid w:val="003B4A22"/>
    <w:rsid w:val="003C0081"/>
    <w:rsid w:val="003D0359"/>
    <w:rsid w:val="003E0E7D"/>
    <w:rsid w:val="003F2468"/>
    <w:rsid w:val="003F4777"/>
    <w:rsid w:val="00413A3A"/>
    <w:rsid w:val="004145E6"/>
    <w:rsid w:val="004169A6"/>
    <w:rsid w:val="004229C1"/>
    <w:rsid w:val="00423AEB"/>
    <w:rsid w:val="00425100"/>
    <w:rsid w:val="00442A95"/>
    <w:rsid w:val="00450532"/>
    <w:rsid w:val="0045068E"/>
    <w:rsid w:val="00451BE3"/>
    <w:rsid w:val="00454705"/>
    <w:rsid w:val="004708FF"/>
    <w:rsid w:val="00475522"/>
    <w:rsid w:val="00480955"/>
    <w:rsid w:val="00486CA5"/>
    <w:rsid w:val="004D2779"/>
    <w:rsid w:val="004D770F"/>
    <w:rsid w:val="004E3A50"/>
    <w:rsid w:val="004F395F"/>
    <w:rsid w:val="004F5ED4"/>
    <w:rsid w:val="00527C82"/>
    <w:rsid w:val="0054668A"/>
    <w:rsid w:val="00546C16"/>
    <w:rsid w:val="0055706C"/>
    <w:rsid w:val="00562E50"/>
    <w:rsid w:val="00564B32"/>
    <w:rsid w:val="0057278B"/>
    <w:rsid w:val="005968BF"/>
    <w:rsid w:val="005968D4"/>
    <w:rsid w:val="005A67AC"/>
    <w:rsid w:val="005C3837"/>
    <w:rsid w:val="005C5BE8"/>
    <w:rsid w:val="005D37BB"/>
    <w:rsid w:val="005E3F96"/>
    <w:rsid w:val="0060345D"/>
    <w:rsid w:val="00604A78"/>
    <w:rsid w:val="00605CCD"/>
    <w:rsid w:val="00611EB3"/>
    <w:rsid w:val="00612100"/>
    <w:rsid w:val="0062365C"/>
    <w:rsid w:val="00632B6E"/>
    <w:rsid w:val="006340EF"/>
    <w:rsid w:val="006372FB"/>
    <w:rsid w:val="00640B72"/>
    <w:rsid w:val="00660CBB"/>
    <w:rsid w:val="00682724"/>
    <w:rsid w:val="006A3DBD"/>
    <w:rsid w:val="006A43B8"/>
    <w:rsid w:val="006B0AC7"/>
    <w:rsid w:val="006C7BF0"/>
    <w:rsid w:val="006D3D36"/>
    <w:rsid w:val="006D4C4A"/>
    <w:rsid w:val="006D63C0"/>
    <w:rsid w:val="006E31C3"/>
    <w:rsid w:val="006F2B43"/>
    <w:rsid w:val="0070022A"/>
    <w:rsid w:val="007050E6"/>
    <w:rsid w:val="0071233D"/>
    <w:rsid w:val="0071326F"/>
    <w:rsid w:val="007216A0"/>
    <w:rsid w:val="00734861"/>
    <w:rsid w:val="00736B83"/>
    <w:rsid w:val="007403EF"/>
    <w:rsid w:val="00756B5B"/>
    <w:rsid w:val="007651EF"/>
    <w:rsid w:val="0076786E"/>
    <w:rsid w:val="007A05FC"/>
    <w:rsid w:val="007B289E"/>
    <w:rsid w:val="007B7814"/>
    <w:rsid w:val="007C46E3"/>
    <w:rsid w:val="007D4776"/>
    <w:rsid w:val="007D6426"/>
    <w:rsid w:val="007E7BF2"/>
    <w:rsid w:val="007F1084"/>
    <w:rsid w:val="007F2B43"/>
    <w:rsid w:val="008024FC"/>
    <w:rsid w:val="00803315"/>
    <w:rsid w:val="008374A3"/>
    <w:rsid w:val="00841321"/>
    <w:rsid w:val="00842BFD"/>
    <w:rsid w:val="00850EBD"/>
    <w:rsid w:val="0086205B"/>
    <w:rsid w:val="0086258A"/>
    <w:rsid w:val="00882F88"/>
    <w:rsid w:val="008B377A"/>
    <w:rsid w:val="008B55AA"/>
    <w:rsid w:val="008C1E8C"/>
    <w:rsid w:val="008E1F9A"/>
    <w:rsid w:val="008E4DDD"/>
    <w:rsid w:val="008E733B"/>
    <w:rsid w:val="008E7DD1"/>
    <w:rsid w:val="008F66FC"/>
    <w:rsid w:val="00910EB0"/>
    <w:rsid w:val="009203B8"/>
    <w:rsid w:val="00923308"/>
    <w:rsid w:val="00946066"/>
    <w:rsid w:val="009503E9"/>
    <w:rsid w:val="009556B0"/>
    <w:rsid w:val="00956412"/>
    <w:rsid w:val="009609C2"/>
    <w:rsid w:val="0096283E"/>
    <w:rsid w:val="0097135A"/>
    <w:rsid w:val="009840F7"/>
    <w:rsid w:val="009966FD"/>
    <w:rsid w:val="009D0C75"/>
    <w:rsid w:val="00A059E1"/>
    <w:rsid w:val="00A13668"/>
    <w:rsid w:val="00A2364E"/>
    <w:rsid w:val="00A268C9"/>
    <w:rsid w:val="00A30B77"/>
    <w:rsid w:val="00A416FD"/>
    <w:rsid w:val="00A4313C"/>
    <w:rsid w:val="00A44C38"/>
    <w:rsid w:val="00A5273E"/>
    <w:rsid w:val="00A54264"/>
    <w:rsid w:val="00A62C5F"/>
    <w:rsid w:val="00A81292"/>
    <w:rsid w:val="00A87183"/>
    <w:rsid w:val="00A87A0A"/>
    <w:rsid w:val="00A938D2"/>
    <w:rsid w:val="00A9565C"/>
    <w:rsid w:val="00A95CF6"/>
    <w:rsid w:val="00AA5F6A"/>
    <w:rsid w:val="00AB4C86"/>
    <w:rsid w:val="00AB5DF5"/>
    <w:rsid w:val="00AE1539"/>
    <w:rsid w:val="00B032C7"/>
    <w:rsid w:val="00B14C68"/>
    <w:rsid w:val="00B30784"/>
    <w:rsid w:val="00B35CE5"/>
    <w:rsid w:val="00B45223"/>
    <w:rsid w:val="00B45649"/>
    <w:rsid w:val="00B60A17"/>
    <w:rsid w:val="00B74A2A"/>
    <w:rsid w:val="00B80AA0"/>
    <w:rsid w:val="00B90E1F"/>
    <w:rsid w:val="00B91BFD"/>
    <w:rsid w:val="00B959EA"/>
    <w:rsid w:val="00B97008"/>
    <w:rsid w:val="00BA4DCE"/>
    <w:rsid w:val="00BB4602"/>
    <w:rsid w:val="00BC0D6C"/>
    <w:rsid w:val="00BC16F9"/>
    <w:rsid w:val="00BC24A3"/>
    <w:rsid w:val="00BC5369"/>
    <w:rsid w:val="00BF1FBD"/>
    <w:rsid w:val="00C06F49"/>
    <w:rsid w:val="00C136D7"/>
    <w:rsid w:val="00C17A64"/>
    <w:rsid w:val="00C34477"/>
    <w:rsid w:val="00C5461A"/>
    <w:rsid w:val="00C57A5C"/>
    <w:rsid w:val="00C63C85"/>
    <w:rsid w:val="00C63F0C"/>
    <w:rsid w:val="00CA1CB1"/>
    <w:rsid w:val="00CA49B6"/>
    <w:rsid w:val="00CB3697"/>
    <w:rsid w:val="00CF23D8"/>
    <w:rsid w:val="00CF2C6C"/>
    <w:rsid w:val="00D24AA3"/>
    <w:rsid w:val="00D31AD2"/>
    <w:rsid w:val="00D32F3B"/>
    <w:rsid w:val="00D528ED"/>
    <w:rsid w:val="00D95E35"/>
    <w:rsid w:val="00D97E6F"/>
    <w:rsid w:val="00DA4DB5"/>
    <w:rsid w:val="00DB577E"/>
    <w:rsid w:val="00DC1DDA"/>
    <w:rsid w:val="00DC761A"/>
    <w:rsid w:val="00DD24EA"/>
    <w:rsid w:val="00DE589D"/>
    <w:rsid w:val="00E157D6"/>
    <w:rsid w:val="00E22A97"/>
    <w:rsid w:val="00E465BF"/>
    <w:rsid w:val="00E7509B"/>
    <w:rsid w:val="00E76877"/>
    <w:rsid w:val="00E82765"/>
    <w:rsid w:val="00E9503F"/>
    <w:rsid w:val="00E97BFF"/>
    <w:rsid w:val="00EA65DF"/>
    <w:rsid w:val="00EA6762"/>
    <w:rsid w:val="00EB7017"/>
    <w:rsid w:val="00EC3BE0"/>
    <w:rsid w:val="00EC7A10"/>
    <w:rsid w:val="00ED1FAA"/>
    <w:rsid w:val="00EE74A8"/>
    <w:rsid w:val="00EE79FC"/>
    <w:rsid w:val="00F03225"/>
    <w:rsid w:val="00F12327"/>
    <w:rsid w:val="00F17219"/>
    <w:rsid w:val="00F32FB4"/>
    <w:rsid w:val="00F46088"/>
    <w:rsid w:val="00F57236"/>
    <w:rsid w:val="00F5751B"/>
    <w:rsid w:val="00F70B4F"/>
    <w:rsid w:val="00F866BE"/>
    <w:rsid w:val="00FA1572"/>
    <w:rsid w:val="00FB3590"/>
    <w:rsid w:val="00FB5E36"/>
    <w:rsid w:val="00FD4F08"/>
    <w:rsid w:val="00FD7663"/>
    <w:rsid w:val="00FE0EDB"/>
    <w:rsid w:val="00FE7BEE"/>
    <w:rsid w:val="6D85B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9128B"/>
  <w15:chartTrackingRefBased/>
  <w15:docId w15:val="{B7105ABA-B5AD-4778-98CD-6632DC4A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39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938"/>
    <w:rPr>
      <w:sz w:val="20"/>
      <w:szCs w:val="20"/>
    </w:rPr>
  </w:style>
  <w:style w:type="character" w:styleId="EndnoteReference">
    <w:name w:val="endnote reference"/>
    <w:basedOn w:val="DefaultParagraphFont"/>
    <w:uiPriority w:val="99"/>
    <w:semiHidden/>
    <w:unhideWhenUsed/>
    <w:rsid w:val="003B3938"/>
    <w:rPr>
      <w:vertAlign w:val="superscript"/>
    </w:rPr>
  </w:style>
  <w:style w:type="paragraph" w:styleId="ListParagraph">
    <w:name w:val="List Paragraph"/>
    <w:basedOn w:val="Normal"/>
    <w:uiPriority w:val="34"/>
    <w:qFormat/>
    <w:rsid w:val="003B4A22"/>
    <w:pPr>
      <w:ind w:left="720"/>
      <w:contextualSpacing/>
    </w:pPr>
  </w:style>
  <w:style w:type="character" w:styleId="Hyperlink">
    <w:name w:val="Hyperlink"/>
    <w:basedOn w:val="DefaultParagraphFont"/>
    <w:uiPriority w:val="99"/>
    <w:unhideWhenUsed/>
    <w:rsid w:val="00C5461A"/>
    <w:rPr>
      <w:color w:val="0000FF"/>
      <w:u w:val="single"/>
    </w:rPr>
  </w:style>
  <w:style w:type="character" w:customStyle="1" w:styleId="UnresolvedMention1">
    <w:name w:val="Unresolved Mention1"/>
    <w:basedOn w:val="DefaultParagraphFont"/>
    <w:uiPriority w:val="99"/>
    <w:semiHidden/>
    <w:unhideWhenUsed/>
    <w:rsid w:val="00C63C85"/>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3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6E"/>
    <w:rPr>
      <w:rFonts w:ascii="Segoe UI" w:hAnsi="Segoe UI" w:cs="Segoe UI"/>
      <w:sz w:val="18"/>
      <w:szCs w:val="18"/>
    </w:rPr>
  </w:style>
  <w:style w:type="character" w:styleId="CommentReference">
    <w:name w:val="annotation reference"/>
    <w:basedOn w:val="DefaultParagraphFont"/>
    <w:uiPriority w:val="99"/>
    <w:semiHidden/>
    <w:unhideWhenUsed/>
    <w:rsid w:val="0057278B"/>
    <w:rPr>
      <w:sz w:val="16"/>
      <w:szCs w:val="16"/>
    </w:rPr>
  </w:style>
  <w:style w:type="paragraph" w:styleId="CommentText">
    <w:name w:val="annotation text"/>
    <w:basedOn w:val="Normal"/>
    <w:link w:val="CommentTextChar"/>
    <w:uiPriority w:val="99"/>
    <w:unhideWhenUsed/>
    <w:rsid w:val="0057278B"/>
    <w:pPr>
      <w:spacing w:line="240" w:lineRule="auto"/>
    </w:pPr>
    <w:rPr>
      <w:sz w:val="20"/>
      <w:szCs w:val="20"/>
    </w:rPr>
  </w:style>
  <w:style w:type="character" w:customStyle="1" w:styleId="CommentTextChar">
    <w:name w:val="Comment Text Char"/>
    <w:basedOn w:val="DefaultParagraphFont"/>
    <w:link w:val="CommentText"/>
    <w:uiPriority w:val="99"/>
    <w:rsid w:val="0057278B"/>
    <w:rPr>
      <w:sz w:val="20"/>
      <w:szCs w:val="20"/>
    </w:rPr>
  </w:style>
  <w:style w:type="paragraph" w:styleId="CommentSubject">
    <w:name w:val="annotation subject"/>
    <w:basedOn w:val="CommentText"/>
    <w:next w:val="CommentText"/>
    <w:link w:val="CommentSubjectChar"/>
    <w:uiPriority w:val="99"/>
    <w:semiHidden/>
    <w:unhideWhenUsed/>
    <w:rsid w:val="0057278B"/>
    <w:rPr>
      <w:b/>
      <w:bCs/>
    </w:rPr>
  </w:style>
  <w:style w:type="character" w:customStyle="1" w:styleId="CommentSubjectChar">
    <w:name w:val="Comment Subject Char"/>
    <w:basedOn w:val="CommentTextChar"/>
    <w:link w:val="CommentSubject"/>
    <w:uiPriority w:val="99"/>
    <w:semiHidden/>
    <w:rsid w:val="0057278B"/>
    <w:rPr>
      <w:b/>
      <w:bCs/>
      <w:sz w:val="20"/>
      <w:szCs w:val="20"/>
    </w:rPr>
  </w:style>
  <w:style w:type="paragraph" w:styleId="NormalWeb">
    <w:name w:val="Normal (Web)"/>
    <w:basedOn w:val="Normal"/>
    <w:uiPriority w:val="99"/>
    <w:semiHidden/>
    <w:unhideWhenUsed/>
    <w:rsid w:val="009556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6CA5"/>
    <w:pPr>
      <w:spacing w:after="0" w:line="240" w:lineRule="auto"/>
    </w:pPr>
  </w:style>
  <w:style w:type="character" w:styleId="UnresolvedMention">
    <w:name w:val="Unresolved Mention"/>
    <w:basedOn w:val="DefaultParagraphFont"/>
    <w:uiPriority w:val="99"/>
    <w:semiHidden/>
    <w:unhideWhenUsed/>
    <w:rsid w:val="0070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056">
      <w:bodyDiv w:val="1"/>
      <w:marLeft w:val="0"/>
      <w:marRight w:val="0"/>
      <w:marTop w:val="0"/>
      <w:marBottom w:val="0"/>
      <w:divBdr>
        <w:top w:val="none" w:sz="0" w:space="0" w:color="auto"/>
        <w:left w:val="none" w:sz="0" w:space="0" w:color="auto"/>
        <w:bottom w:val="none" w:sz="0" w:space="0" w:color="auto"/>
        <w:right w:val="none" w:sz="0" w:space="0" w:color="auto"/>
      </w:divBdr>
      <w:divsChild>
        <w:div w:id="1435444817">
          <w:marLeft w:val="480"/>
          <w:marRight w:val="0"/>
          <w:marTop w:val="0"/>
          <w:marBottom w:val="0"/>
          <w:divBdr>
            <w:top w:val="none" w:sz="0" w:space="0" w:color="auto"/>
            <w:left w:val="none" w:sz="0" w:space="0" w:color="auto"/>
            <w:bottom w:val="none" w:sz="0" w:space="0" w:color="auto"/>
            <w:right w:val="none" w:sz="0" w:space="0" w:color="auto"/>
          </w:divBdr>
          <w:divsChild>
            <w:div w:id="1260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1527">
      <w:bodyDiv w:val="1"/>
      <w:marLeft w:val="0"/>
      <w:marRight w:val="0"/>
      <w:marTop w:val="0"/>
      <w:marBottom w:val="0"/>
      <w:divBdr>
        <w:top w:val="none" w:sz="0" w:space="0" w:color="auto"/>
        <w:left w:val="none" w:sz="0" w:space="0" w:color="auto"/>
        <w:bottom w:val="none" w:sz="0" w:space="0" w:color="auto"/>
        <w:right w:val="none" w:sz="0" w:space="0" w:color="auto"/>
      </w:divBdr>
      <w:divsChild>
        <w:div w:id="1246525605">
          <w:marLeft w:val="480"/>
          <w:marRight w:val="0"/>
          <w:marTop w:val="0"/>
          <w:marBottom w:val="0"/>
          <w:divBdr>
            <w:top w:val="none" w:sz="0" w:space="0" w:color="auto"/>
            <w:left w:val="none" w:sz="0" w:space="0" w:color="auto"/>
            <w:bottom w:val="none" w:sz="0" w:space="0" w:color="auto"/>
            <w:right w:val="none" w:sz="0" w:space="0" w:color="auto"/>
          </w:divBdr>
          <w:divsChild>
            <w:div w:id="704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515">
      <w:bodyDiv w:val="1"/>
      <w:marLeft w:val="0"/>
      <w:marRight w:val="0"/>
      <w:marTop w:val="0"/>
      <w:marBottom w:val="0"/>
      <w:divBdr>
        <w:top w:val="none" w:sz="0" w:space="0" w:color="auto"/>
        <w:left w:val="none" w:sz="0" w:space="0" w:color="auto"/>
        <w:bottom w:val="none" w:sz="0" w:space="0" w:color="auto"/>
        <w:right w:val="none" w:sz="0" w:space="0" w:color="auto"/>
      </w:divBdr>
    </w:div>
    <w:div w:id="728307242">
      <w:bodyDiv w:val="1"/>
      <w:marLeft w:val="0"/>
      <w:marRight w:val="0"/>
      <w:marTop w:val="0"/>
      <w:marBottom w:val="0"/>
      <w:divBdr>
        <w:top w:val="none" w:sz="0" w:space="0" w:color="auto"/>
        <w:left w:val="none" w:sz="0" w:space="0" w:color="auto"/>
        <w:bottom w:val="none" w:sz="0" w:space="0" w:color="auto"/>
        <w:right w:val="none" w:sz="0" w:space="0" w:color="auto"/>
      </w:divBdr>
      <w:divsChild>
        <w:div w:id="256912842">
          <w:marLeft w:val="480"/>
          <w:marRight w:val="0"/>
          <w:marTop w:val="0"/>
          <w:marBottom w:val="0"/>
          <w:divBdr>
            <w:top w:val="none" w:sz="0" w:space="0" w:color="auto"/>
            <w:left w:val="none" w:sz="0" w:space="0" w:color="auto"/>
            <w:bottom w:val="none" w:sz="0" w:space="0" w:color="auto"/>
            <w:right w:val="none" w:sz="0" w:space="0" w:color="auto"/>
          </w:divBdr>
          <w:divsChild>
            <w:div w:id="1366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56">
      <w:bodyDiv w:val="1"/>
      <w:marLeft w:val="0"/>
      <w:marRight w:val="0"/>
      <w:marTop w:val="0"/>
      <w:marBottom w:val="0"/>
      <w:divBdr>
        <w:top w:val="none" w:sz="0" w:space="0" w:color="auto"/>
        <w:left w:val="none" w:sz="0" w:space="0" w:color="auto"/>
        <w:bottom w:val="none" w:sz="0" w:space="0" w:color="auto"/>
        <w:right w:val="none" w:sz="0" w:space="0" w:color="auto"/>
      </w:divBdr>
      <w:divsChild>
        <w:div w:id="1336878197">
          <w:marLeft w:val="480"/>
          <w:marRight w:val="0"/>
          <w:marTop w:val="0"/>
          <w:marBottom w:val="0"/>
          <w:divBdr>
            <w:top w:val="none" w:sz="0" w:space="0" w:color="auto"/>
            <w:left w:val="none" w:sz="0" w:space="0" w:color="auto"/>
            <w:bottom w:val="none" w:sz="0" w:space="0" w:color="auto"/>
            <w:right w:val="none" w:sz="0" w:space="0" w:color="auto"/>
          </w:divBdr>
          <w:divsChild>
            <w:div w:id="7409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1120">
      <w:bodyDiv w:val="1"/>
      <w:marLeft w:val="0"/>
      <w:marRight w:val="0"/>
      <w:marTop w:val="0"/>
      <w:marBottom w:val="0"/>
      <w:divBdr>
        <w:top w:val="none" w:sz="0" w:space="0" w:color="auto"/>
        <w:left w:val="none" w:sz="0" w:space="0" w:color="auto"/>
        <w:bottom w:val="none" w:sz="0" w:space="0" w:color="auto"/>
        <w:right w:val="none" w:sz="0" w:space="0" w:color="auto"/>
      </w:divBdr>
    </w:div>
    <w:div w:id="821847774">
      <w:bodyDiv w:val="1"/>
      <w:marLeft w:val="0"/>
      <w:marRight w:val="0"/>
      <w:marTop w:val="0"/>
      <w:marBottom w:val="0"/>
      <w:divBdr>
        <w:top w:val="none" w:sz="0" w:space="0" w:color="auto"/>
        <w:left w:val="none" w:sz="0" w:space="0" w:color="auto"/>
        <w:bottom w:val="none" w:sz="0" w:space="0" w:color="auto"/>
        <w:right w:val="none" w:sz="0" w:space="0" w:color="auto"/>
      </w:divBdr>
      <w:divsChild>
        <w:div w:id="1307589040">
          <w:marLeft w:val="480"/>
          <w:marRight w:val="0"/>
          <w:marTop w:val="0"/>
          <w:marBottom w:val="0"/>
          <w:divBdr>
            <w:top w:val="none" w:sz="0" w:space="0" w:color="auto"/>
            <w:left w:val="none" w:sz="0" w:space="0" w:color="auto"/>
            <w:bottom w:val="none" w:sz="0" w:space="0" w:color="auto"/>
            <w:right w:val="none" w:sz="0" w:space="0" w:color="auto"/>
          </w:divBdr>
          <w:divsChild>
            <w:div w:id="20773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747">
      <w:bodyDiv w:val="1"/>
      <w:marLeft w:val="0"/>
      <w:marRight w:val="0"/>
      <w:marTop w:val="0"/>
      <w:marBottom w:val="0"/>
      <w:divBdr>
        <w:top w:val="none" w:sz="0" w:space="0" w:color="auto"/>
        <w:left w:val="none" w:sz="0" w:space="0" w:color="auto"/>
        <w:bottom w:val="none" w:sz="0" w:space="0" w:color="auto"/>
        <w:right w:val="none" w:sz="0" w:space="0" w:color="auto"/>
      </w:divBdr>
      <w:divsChild>
        <w:div w:id="1225068783">
          <w:marLeft w:val="480"/>
          <w:marRight w:val="0"/>
          <w:marTop w:val="0"/>
          <w:marBottom w:val="0"/>
          <w:divBdr>
            <w:top w:val="none" w:sz="0" w:space="0" w:color="auto"/>
            <w:left w:val="none" w:sz="0" w:space="0" w:color="auto"/>
            <w:bottom w:val="none" w:sz="0" w:space="0" w:color="auto"/>
            <w:right w:val="none" w:sz="0" w:space="0" w:color="auto"/>
          </w:divBdr>
          <w:divsChild>
            <w:div w:id="35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8096">
      <w:bodyDiv w:val="1"/>
      <w:marLeft w:val="0"/>
      <w:marRight w:val="0"/>
      <w:marTop w:val="0"/>
      <w:marBottom w:val="0"/>
      <w:divBdr>
        <w:top w:val="none" w:sz="0" w:space="0" w:color="auto"/>
        <w:left w:val="none" w:sz="0" w:space="0" w:color="auto"/>
        <w:bottom w:val="none" w:sz="0" w:space="0" w:color="auto"/>
        <w:right w:val="none" w:sz="0" w:space="0" w:color="auto"/>
      </w:divBdr>
    </w:div>
    <w:div w:id="1159035755">
      <w:bodyDiv w:val="1"/>
      <w:marLeft w:val="0"/>
      <w:marRight w:val="0"/>
      <w:marTop w:val="0"/>
      <w:marBottom w:val="0"/>
      <w:divBdr>
        <w:top w:val="none" w:sz="0" w:space="0" w:color="auto"/>
        <w:left w:val="none" w:sz="0" w:space="0" w:color="auto"/>
        <w:bottom w:val="none" w:sz="0" w:space="0" w:color="auto"/>
        <w:right w:val="none" w:sz="0" w:space="0" w:color="auto"/>
      </w:divBdr>
      <w:divsChild>
        <w:div w:id="253128693">
          <w:marLeft w:val="480"/>
          <w:marRight w:val="0"/>
          <w:marTop w:val="0"/>
          <w:marBottom w:val="0"/>
          <w:divBdr>
            <w:top w:val="none" w:sz="0" w:space="0" w:color="auto"/>
            <w:left w:val="none" w:sz="0" w:space="0" w:color="auto"/>
            <w:bottom w:val="none" w:sz="0" w:space="0" w:color="auto"/>
            <w:right w:val="none" w:sz="0" w:space="0" w:color="auto"/>
          </w:divBdr>
          <w:divsChild>
            <w:div w:id="5994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8636">
      <w:bodyDiv w:val="1"/>
      <w:marLeft w:val="0"/>
      <w:marRight w:val="0"/>
      <w:marTop w:val="0"/>
      <w:marBottom w:val="0"/>
      <w:divBdr>
        <w:top w:val="none" w:sz="0" w:space="0" w:color="auto"/>
        <w:left w:val="none" w:sz="0" w:space="0" w:color="auto"/>
        <w:bottom w:val="none" w:sz="0" w:space="0" w:color="auto"/>
        <w:right w:val="none" w:sz="0" w:space="0" w:color="auto"/>
      </w:divBdr>
    </w:div>
    <w:div w:id="1200363632">
      <w:bodyDiv w:val="1"/>
      <w:marLeft w:val="0"/>
      <w:marRight w:val="0"/>
      <w:marTop w:val="0"/>
      <w:marBottom w:val="0"/>
      <w:divBdr>
        <w:top w:val="none" w:sz="0" w:space="0" w:color="auto"/>
        <w:left w:val="none" w:sz="0" w:space="0" w:color="auto"/>
        <w:bottom w:val="none" w:sz="0" w:space="0" w:color="auto"/>
        <w:right w:val="none" w:sz="0" w:space="0" w:color="auto"/>
      </w:divBdr>
      <w:divsChild>
        <w:div w:id="1302803935">
          <w:marLeft w:val="480"/>
          <w:marRight w:val="0"/>
          <w:marTop w:val="0"/>
          <w:marBottom w:val="0"/>
          <w:divBdr>
            <w:top w:val="none" w:sz="0" w:space="0" w:color="auto"/>
            <w:left w:val="none" w:sz="0" w:space="0" w:color="auto"/>
            <w:bottom w:val="none" w:sz="0" w:space="0" w:color="auto"/>
            <w:right w:val="none" w:sz="0" w:space="0" w:color="auto"/>
          </w:divBdr>
          <w:divsChild>
            <w:div w:id="11710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8475">
      <w:bodyDiv w:val="1"/>
      <w:marLeft w:val="0"/>
      <w:marRight w:val="0"/>
      <w:marTop w:val="0"/>
      <w:marBottom w:val="0"/>
      <w:divBdr>
        <w:top w:val="none" w:sz="0" w:space="0" w:color="auto"/>
        <w:left w:val="none" w:sz="0" w:space="0" w:color="auto"/>
        <w:bottom w:val="none" w:sz="0" w:space="0" w:color="auto"/>
        <w:right w:val="none" w:sz="0" w:space="0" w:color="auto"/>
      </w:divBdr>
      <w:divsChild>
        <w:div w:id="1017194681">
          <w:marLeft w:val="480"/>
          <w:marRight w:val="0"/>
          <w:marTop w:val="0"/>
          <w:marBottom w:val="0"/>
          <w:divBdr>
            <w:top w:val="none" w:sz="0" w:space="0" w:color="auto"/>
            <w:left w:val="none" w:sz="0" w:space="0" w:color="auto"/>
            <w:bottom w:val="none" w:sz="0" w:space="0" w:color="auto"/>
            <w:right w:val="none" w:sz="0" w:space="0" w:color="auto"/>
          </w:divBdr>
          <w:divsChild>
            <w:div w:id="1040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125">
      <w:bodyDiv w:val="1"/>
      <w:marLeft w:val="0"/>
      <w:marRight w:val="0"/>
      <w:marTop w:val="0"/>
      <w:marBottom w:val="0"/>
      <w:divBdr>
        <w:top w:val="none" w:sz="0" w:space="0" w:color="auto"/>
        <w:left w:val="none" w:sz="0" w:space="0" w:color="auto"/>
        <w:bottom w:val="none" w:sz="0" w:space="0" w:color="auto"/>
        <w:right w:val="none" w:sz="0" w:space="0" w:color="auto"/>
      </w:divBdr>
    </w:div>
    <w:div w:id="1858151120">
      <w:bodyDiv w:val="1"/>
      <w:marLeft w:val="0"/>
      <w:marRight w:val="0"/>
      <w:marTop w:val="0"/>
      <w:marBottom w:val="0"/>
      <w:divBdr>
        <w:top w:val="none" w:sz="0" w:space="0" w:color="auto"/>
        <w:left w:val="none" w:sz="0" w:space="0" w:color="auto"/>
        <w:bottom w:val="none" w:sz="0" w:space="0" w:color="auto"/>
        <w:right w:val="none" w:sz="0" w:space="0" w:color="auto"/>
      </w:divBdr>
      <w:divsChild>
        <w:div w:id="19862812">
          <w:marLeft w:val="480"/>
          <w:marRight w:val="0"/>
          <w:marTop w:val="0"/>
          <w:marBottom w:val="0"/>
          <w:divBdr>
            <w:top w:val="none" w:sz="0" w:space="0" w:color="auto"/>
            <w:left w:val="none" w:sz="0" w:space="0" w:color="auto"/>
            <w:bottom w:val="none" w:sz="0" w:space="0" w:color="auto"/>
            <w:right w:val="none" w:sz="0" w:space="0" w:color="auto"/>
          </w:divBdr>
          <w:divsChild>
            <w:div w:id="5472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stanford.edu/2017/02/28/vouchers-not-improve-student-achievement-stanford-researcher-find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cson.com/news/local/education/most-applying-for-arizona-vouchers-already-go-to-private-schools/article_34d75b9a-2968-11ed-812b-f7dad22200b5.html" TargetMode="External"/><Relationship Id="rId17" Type="http://schemas.openxmlformats.org/officeDocument/2006/relationships/hyperlink" Target="https://www.idra.org/education_policy/texas-legislative-education-equity-coalition/" TargetMode="External"/><Relationship Id="rId2" Type="http://schemas.openxmlformats.org/officeDocument/2006/relationships/customXml" Target="../customXml/item2.xml"/><Relationship Id="rId16" Type="http://schemas.openxmlformats.org/officeDocument/2006/relationships/hyperlink" Target="mailto:fmenendez@mald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loe.sikes@idr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ente@everytex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7A7A42036F44980EE44067811EE46" ma:contentTypeVersion="12" ma:contentTypeDescription="Create a new document." ma:contentTypeScope="" ma:versionID="32db7a07ed7dcd7d94613747e70568f2">
  <xsd:schema xmlns:xsd="http://www.w3.org/2001/XMLSchema" xmlns:xs="http://www.w3.org/2001/XMLSchema" xmlns:p="http://schemas.microsoft.com/office/2006/metadata/properties" xmlns:ns3="3ce0ac17-2b6c-4d7d-b9ea-e1c4b9816267" xmlns:ns4="d0295684-8b32-406c-be9a-5126627e1220" targetNamespace="http://schemas.microsoft.com/office/2006/metadata/properties" ma:root="true" ma:fieldsID="bc34df686cd322ec0edc466b6441b6e5" ns3:_="" ns4:_="">
    <xsd:import namespace="3ce0ac17-2b6c-4d7d-b9ea-e1c4b9816267"/>
    <xsd:import namespace="d0295684-8b32-406c-be9a-5126627e12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0ac17-2b6c-4d7d-b9ea-e1c4b9816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95684-8b32-406c-be9a-5126627e12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F314-581A-452F-951E-EA8EC26CF0BC}">
  <ds:schemaRefs>
    <ds:schemaRef ds:uri="http://schemas.microsoft.com/sharepoint/v3/contenttype/forms"/>
  </ds:schemaRefs>
</ds:datastoreItem>
</file>

<file path=customXml/itemProps2.xml><?xml version="1.0" encoding="utf-8"?>
<ds:datastoreItem xmlns:ds="http://schemas.openxmlformats.org/officeDocument/2006/customXml" ds:itemID="{1F5A3EA4-4B32-43CE-9A41-0E08852F3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92532-8488-47B7-9997-0870F664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0ac17-2b6c-4d7d-b9ea-e1c4b9816267"/>
    <ds:schemaRef ds:uri="d0295684-8b32-406c-be9a-5126627e1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A2213-2856-49D6-8354-5D193764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Sikes</dc:creator>
  <cp:keywords/>
  <dc:description/>
  <cp:lastModifiedBy>Chloe Sikes</cp:lastModifiedBy>
  <cp:revision>4</cp:revision>
  <dcterms:created xsi:type="dcterms:W3CDTF">2023-02-14T18:08:00Z</dcterms:created>
  <dcterms:modified xsi:type="dcterms:W3CDTF">2023-02-15T19:02:00Z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0x010100C1C7A7A42036F44980EE44067811EE46</vt:lpwstr>
  </property>
</Properties>
</file>